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3" w:rsidRPr="004D552F" w:rsidRDefault="00666343" w:rsidP="0066634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D552F">
        <w:rPr>
          <w:rFonts w:ascii="Arial" w:eastAsia="Calibri" w:hAnsi="Arial" w:cs="Arial"/>
          <w:b/>
          <w:sz w:val="32"/>
          <w:szCs w:val="32"/>
        </w:rPr>
        <w:t>OBRAZLOŽENJE</w:t>
      </w:r>
    </w:p>
    <w:p w:rsidR="004D552F" w:rsidRDefault="004D552F" w:rsidP="003E58C8">
      <w:pPr>
        <w:jc w:val="both"/>
        <w:rPr>
          <w:rFonts w:ascii="Arial" w:eastAsia="Calibri" w:hAnsi="Arial" w:cs="Arial"/>
          <w:sz w:val="32"/>
          <w:szCs w:val="32"/>
        </w:rPr>
      </w:pPr>
    </w:p>
    <w:p w:rsidR="003E58C8" w:rsidRPr="004D552F" w:rsidRDefault="004D552F" w:rsidP="003E58C8">
      <w:pPr>
        <w:jc w:val="both"/>
        <w:rPr>
          <w:rFonts w:ascii="Arial" w:eastAsia="Calibri" w:hAnsi="Arial" w:cs="Arial"/>
          <w:sz w:val="32"/>
          <w:szCs w:val="32"/>
        </w:rPr>
      </w:pPr>
      <w:r w:rsidRPr="004D552F">
        <w:rPr>
          <w:rFonts w:ascii="Arial" w:eastAsia="Calibri" w:hAnsi="Arial" w:cs="Arial"/>
          <w:sz w:val="32"/>
          <w:szCs w:val="32"/>
        </w:rPr>
        <w:t xml:space="preserve">Nacrtom </w:t>
      </w:r>
      <w:r>
        <w:rPr>
          <w:rFonts w:ascii="Arial" w:eastAsia="Calibri" w:hAnsi="Arial" w:cs="Arial"/>
          <w:sz w:val="32"/>
          <w:szCs w:val="32"/>
        </w:rPr>
        <w:t>p</w:t>
      </w:r>
      <w:r w:rsidR="003E58C8" w:rsidRPr="004D552F">
        <w:rPr>
          <w:rFonts w:ascii="Arial" w:eastAsia="Calibri" w:hAnsi="Arial" w:cs="Arial"/>
          <w:sz w:val="32"/>
          <w:szCs w:val="32"/>
        </w:rPr>
        <w:t>rijedlog</w:t>
      </w:r>
      <w:r>
        <w:rPr>
          <w:rFonts w:ascii="Arial" w:eastAsia="Calibri" w:hAnsi="Arial" w:cs="Arial"/>
          <w:sz w:val="32"/>
          <w:szCs w:val="32"/>
        </w:rPr>
        <w:t>a</w:t>
      </w:r>
      <w:r w:rsidR="003E58C8" w:rsidRPr="004D552F">
        <w:rPr>
          <w:rFonts w:ascii="Arial" w:eastAsia="Calibri" w:hAnsi="Arial" w:cs="Arial"/>
          <w:sz w:val="32"/>
          <w:szCs w:val="32"/>
        </w:rPr>
        <w:t xml:space="preserve"> Zakona</w:t>
      </w:r>
      <w:r>
        <w:rPr>
          <w:rFonts w:ascii="Arial" w:eastAsia="Calibri" w:hAnsi="Arial" w:cs="Arial"/>
          <w:sz w:val="32"/>
          <w:szCs w:val="32"/>
        </w:rPr>
        <w:t xml:space="preserve"> o provedbi Uredbe (EU) br. 536/2014 Europskog parlamenta i Vijeća od 16. travnja 2014. o kliničkim ispitivanjima lijekova za primjenu kod ljudi te o stavljanju izvan snage Direktive 2001/20/EZ</w:t>
      </w:r>
      <w:r w:rsidR="003E58C8" w:rsidRPr="004D552F">
        <w:rPr>
          <w:rFonts w:ascii="Arial" w:eastAsia="Calibri" w:hAnsi="Arial" w:cs="Arial"/>
          <w:sz w:val="32"/>
          <w:szCs w:val="32"/>
        </w:rPr>
        <w:t xml:space="preserve"> utvrđuju se nadležna tijela i njihove zadaće, provođenje nadzora  te odgovarajuće prekršajne odredbe</w:t>
      </w:r>
      <w:r>
        <w:rPr>
          <w:rFonts w:ascii="Arial" w:eastAsia="Calibri" w:hAnsi="Arial" w:cs="Arial"/>
          <w:sz w:val="32"/>
          <w:szCs w:val="32"/>
        </w:rPr>
        <w:t xml:space="preserve">. </w:t>
      </w:r>
      <w:r w:rsidR="003E58C8" w:rsidRPr="004D552F">
        <w:rPr>
          <w:rFonts w:ascii="Arial" w:eastAsia="Calibri" w:hAnsi="Arial" w:cs="Arial"/>
          <w:sz w:val="32"/>
          <w:szCs w:val="32"/>
        </w:rPr>
        <w:t>Pojednostavljen je postupak podnošenja dokumentacije u vezi sa zahtjevom za odobrenje kliničkog ispitivanja putem jed</w:t>
      </w:r>
      <w:r w:rsidR="00A81561" w:rsidRPr="004D552F">
        <w:rPr>
          <w:rFonts w:ascii="Arial" w:eastAsia="Calibri" w:hAnsi="Arial" w:cs="Arial"/>
          <w:sz w:val="32"/>
          <w:szCs w:val="32"/>
        </w:rPr>
        <w:t xml:space="preserve">instvenog portala (portal EU-a), </w:t>
      </w:r>
      <w:r w:rsidR="003E58C8" w:rsidRPr="004D552F">
        <w:rPr>
          <w:rFonts w:ascii="Arial" w:eastAsia="Calibri" w:hAnsi="Arial" w:cs="Arial"/>
          <w:sz w:val="32"/>
          <w:szCs w:val="32"/>
        </w:rPr>
        <w:t xml:space="preserve"> čime će se izbjeći višestruko podnošenje uglavnom identičnih informacija o kliničkom ispitivanju svim dotičnim državama članic</w:t>
      </w:r>
      <w:r w:rsidR="00A81561" w:rsidRPr="004D552F">
        <w:rPr>
          <w:rFonts w:ascii="Arial" w:eastAsia="Calibri" w:hAnsi="Arial" w:cs="Arial"/>
          <w:sz w:val="32"/>
          <w:szCs w:val="32"/>
        </w:rPr>
        <w:t xml:space="preserve">ama. </w:t>
      </w:r>
      <w:r w:rsidR="003E58C8" w:rsidRPr="004D552F">
        <w:rPr>
          <w:rFonts w:ascii="Arial" w:eastAsia="Calibri" w:hAnsi="Arial" w:cs="Arial"/>
          <w:sz w:val="32"/>
          <w:szCs w:val="32"/>
        </w:rPr>
        <w:t xml:space="preserve"> Novim pristupom razlike među državama članicama svedene su na minimum, a dotične države članice međusobno surađuju u ocjenjivanju zahtjeva za odobrenje kliničkog ispitivanja temeljem jedinstvene procedure procjene dokumentacije i jedinstvenih rokova, što će sveukupno doprinijeti brzini postupka. Na području inspekcije kliničkih ispitivanja, dodatno se uvode kontrole Unije, pri čemu Europska komisija priprema, u suradnji s državama članicama, program kontrola kako bi se utvrdilo da države članice nadziru usklađenost s odredbama Uredbe (EU) 536/2014.</w:t>
      </w:r>
      <w:r>
        <w:rPr>
          <w:rFonts w:ascii="Arial" w:eastAsia="Calibri" w:hAnsi="Arial" w:cs="Arial"/>
          <w:sz w:val="32"/>
          <w:szCs w:val="32"/>
        </w:rPr>
        <w:t xml:space="preserve"> </w:t>
      </w:r>
      <w:bookmarkStart w:id="0" w:name="_GoBack"/>
      <w:bookmarkEnd w:id="0"/>
      <w:r w:rsidR="003E58C8" w:rsidRPr="004D552F">
        <w:rPr>
          <w:rFonts w:ascii="Arial" w:eastAsia="Calibri" w:hAnsi="Arial" w:cs="Arial"/>
          <w:sz w:val="32"/>
          <w:szCs w:val="32"/>
        </w:rPr>
        <w:t xml:space="preserve">Cilj </w:t>
      </w:r>
      <w:r>
        <w:rPr>
          <w:rFonts w:ascii="Arial" w:eastAsia="Calibri" w:hAnsi="Arial" w:cs="Arial"/>
          <w:sz w:val="32"/>
          <w:szCs w:val="32"/>
        </w:rPr>
        <w:t xml:space="preserve">Nacrta </w:t>
      </w:r>
      <w:r w:rsidR="003E58C8" w:rsidRPr="004D552F">
        <w:rPr>
          <w:rFonts w:ascii="Arial" w:eastAsia="Calibri" w:hAnsi="Arial" w:cs="Arial"/>
          <w:sz w:val="32"/>
          <w:szCs w:val="32"/>
        </w:rPr>
        <w:t>prijedloga Zakona je osigurati brz pristup novim, inovativnim postupcima liječenja uz istovremeno osiguravanje sigurnosti i zaštite ispitanika kroz niz pravila.</w:t>
      </w:r>
    </w:p>
    <w:sectPr w:rsidR="003E58C8" w:rsidRPr="004D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87"/>
    <w:rsid w:val="003E58C8"/>
    <w:rsid w:val="004D552F"/>
    <w:rsid w:val="00523B2A"/>
    <w:rsid w:val="00666343"/>
    <w:rsid w:val="006F2987"/>
    <w:rsid w:val="0072541E"/>
    <w:rsid w:val="00A81561"/>
    <w:rsid w:val="00B11C49"/>
    <w:rsid w:val="00E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508E"/>
  <w15:chartTrackingRefBased/>
  <w15:docId w15:val="{615953E7-9C2E-4474-BB83-AFDF5438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Perčić Sandra</cp:lastModifiedBy>
  <cp:revision>3</cp:revision>
  <dcterms:created xsi:type="dcterms:W3CDTF">2018-07-16T07:26:00Z</dcterms:created>
  <dcterms:modified xsi:type="dcterms:W3CDTF">2018-07-16T07:29:00Z</dcterms:modified>
</cp:coreProperties>
</file>